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51"/>
        <w:tblW w:w="8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C0C0C0"/>
          <w:insideV w:val="single" w:sz="4" w:space="0" w:color="C0C0C0"/>
        </w:tblBorders>
        <w:tblCellMar>
          <w:left w:w="70" w:type="dxa"/>
          <w:right w:w="70" w:type="dxa"/>
        </w:tblCellMar>
        <w:tblLook w:val="0000"/>
      </w:tblPr>
      <w:tblGrid>
        <w:gridCol w:w="5882"/>
        <w:gridCol w:w="2838"/>
      </w:tblGrid>
      <w:tr w:rsidR="00DF6394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DF6394" w:rsidRPr="00C045AA" w:rsidRDefault="00DF6394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sz w:val="28"/>
                <w:szCs w:val="28"/>
              </w:rPr>
              <w:t xml:space="preserve">DATI 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DF6394" w:rsidRPr="00C045AA" w:rsidRDefault="00DF6394" w:rsidP="00170975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sz w:val="28"/>
                <w:szCs w:val="28"/>
              </w:rPr>
              <w:t>RISPOSTA</w:t>
            </w:r>
          </w:p>
        </w:tc>
      </w:tr>
      <w:tr w:rsidR="00DF6394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DF6394" w:rsidRPr="00C045AA" w:rsidRDefault="00DF6394" w:rsidP="00DE155A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Apparecchiatura </w:t>
            </w:r>
            <w:r w:rsidR="004A66BA" w:rsidRPr="00794F0E">
              <w:rPr>
                <w:b/>
              </w:rPr>
              <w:t xml:space="preserve"> </w:t>
            </w:r>
            <w:r w:rsidR="00D24007" w:rsidRPr="00071401">
              <w:rPr>
                <w:b/>
                <w:sz w:val="28"/>
              </w:rPr>
              <w:t xml:space="preserve"> </w:t>
            </w:r>
            <w:r w:rsidR="00C00C12">
              <w:rPr>
                <w:b/>
                <w:sz w:val="28"/>
              </w:rPr>
              <w:t>Sistema per</w:t>
            </w:r>
            <w:r w:rsidR="00DE155A">
              <w:rPr>
                <w:b/>
                <w:sz w:val="28"/>
              </w:rPr>
              <w:t xml:space="preserve"> Brachiterapia Radiante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DF6394" w:rsidRPr="00C045AA" w:rsidRDefault="00DF6394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Produttore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Modello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Fornitore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Anno di inizio produzione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Data di costruzione della macchina offerta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Stato di provenienza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Codice CIVAB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Codice CND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C045AA">
              <w:rPr>
                <w:rFonts w:ascii="Verdana" w:hAnsi="Verdana"/>
                <w:b/>
                <w:bCs/>
                <w:sz w:val="28"/>
                <w:szCs w:val="28"/>
              </w:rPr>
              <w:t>PARAMETRI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F6937" w:rsidRPr="00C045AA" w:rsidRDefault="00DF6394" w:rsidP="00170975">
            <w:pPr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C045AA">
              <w:rPr>
                <w:rFonts w:ascii="Verdana" w:hAnsi="Verdana"/>
                <w:b/>
                <w:bCs/>
                <w:sz w:val="28"/>
                <w:szCs w:val="28"/>
              </w:rPr>
              <w:t>RISPOSTA</w:t>
            </w: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cap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caps/>
                <w:sz w:val="22"/>
                <w:szCs w:val="22"/>
              </w:rPr>
              <w:t xml:space="preserve">Caratteristiche di sicurezza 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L’apparecchio è conforme alla normativa C.E.I 62.5 Norma Europea EN 60601 – 1 attualmente vigente: 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L’apparecchio è conforme alla normativa C.E.I 66.5 Norma Europea EN 61010 – 1 attualmente vigente: 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1286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La conformità indicata ai precedenti punti risulta attestata:  </w:t>
            </w:r>
          </w:p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-  da marcatura CE 2007/47 “dispositivi medici”</w:t>
            </w:r>
          </w:p>
          <w:p w:rsidR="009F6937" w:rsidRPr="00C045AA" w:rsidRDefault="009F6937" w:rsidP="00170975">
            <w:pPr>
              <w:ind w:left="284" w:hanging="284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 - da marcatura CE con riferimento ad altra direttiva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color w:val="FF0000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Manuali d</w:t>
            </w:r>
            <w:r w:rsidR="00D631AB" w:rsidRPr="00C045AA">
              <w:rPr>
                <w:rFonts w:ascii="Verdana" w:hAnsi="Verdana"/>
                <w:sz w:val="22"/>
                <w:szCs w:val="22"/>
              </w:rPr>
              <w:t>’</w:t>
            </w:r>
            <w:r w:rsidRPr="00C045AA">
              <w:rPr>
                <w:rFonts w:ascii="Verdana" w:hAnsi="Verdana"/>
                <w:sz w:val="22"/>
                <w:szCs w:val="22"/>
              </w:rPr>
              <w:t xml:space="preserve">uso in italiano 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Verdana" w:hAnsi="Verdana"/>
                <w:b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sz w:val="22"/>
                <w:szCs w:val="22"/>
              </w:rPr>
              <w:t xml:space="preserve">CARATTERISTICHE DELLA STRUMENTAZIONE 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3B16DA" w:rsidRPr="00C045AA" w:rsidTr="00ED512D">
        <w:trPr>
          <w:cantSplit/>
          <w:trHeight w:val="377"/>
        </w:trPr>
        <w:tc>
          <w:tcPr>
            <w:tcW w:w="5882" w:type="dxa"/>
            <w:shd w:val="clear" w:color="auto" w:fill="auto"/>
          </w:tcPr>
          <w:p w:rsidR="003B16DA" w:rsidRPr="00C045AA" w:rsidRDefault="003B16DA" w:rsidP="00D24007">
            <w:pPr>
              <w:pStyle w:val="Paragrafoelenco"/>
              <w:spacing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3B16DA" w:rsidRPr="00C045AA" w:rsidRDefault="003B16DA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170975" w:rsidRPr="00C045AA" w:rsidTr="00170975">
        <w:trPr>
          <w:cantSplit/>
          <w:trHeight w:val="565"/>
        </w:trPr>
        <w:tc>
          <w:tcPr>
            <w:tcW w:w="5882" w:type="dxa"/>
            <w:shd w:val="clear" w:color="auto" w:fill="auto"/>
          </w:tcPr>
          <w:p w:rsidR="00AE1711" w:rsidRPr="00480F4B" w:rsidRDefault="00AE1711" w:rsidP="00AE1711">
            <w:pPr>
              <w:rPr>
                <w:b/>
                <w:u w:val="single"/>
              </w:rPr>
            </w:pPr>
            <w:r w:rsidRPr="00480F4B">
              <w:rPr>
                <w:b/>
                <w:sz w:val="28"/>
                <w:u w:val="single"/>
              </w:rPr>
              <w:lastRenderedPageBreak/>
              <w:t>AFTERLOADER:</w:t>
            </w:r>
            <w:r w:rsidRPr="00480F4B">
              <w:rPr>
                <w:b/>
                <w:u w:val="single"/>
              </w:rPr>
              <w:t xml:space="preserve"> </w:t>
            </w:r>
          </w:p>
          <w:p w:rsidR="00AE1711" w:rsidRPr="00AE1711" w:rsidRDefault="00AE1711" w:rsidP="00AE1711">
            <w:pPr>
              <w:rPr>
                <w:b/>
              </w:rPr>
            </w:pPr>
            <w:r w:rsidRPr="00AE1711">
              <w:rPr>
                <w:b/>
              </w:rPr>
              <w:t>Caratteristiche Tecniche</w:t>
            </w:r>
          </w:p>
          <w:p w:rsidR="00AE1711" w:rsidRPr="00AE1711" w:rsidRDefault="00AE1711" w:rsidP="00AE1711">
            <w:pPr>
              <w:pStyle w:val="Paragrafoelenco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AE1711">
              <w:rPr>
                <w:rFonts w:ascii="Times New Roman" w:hAnsi="Times New Roman" w:cs="Times New Roman"/>
              </w:rPr>
              <w:t>Sorgente: Ir-192</w:t>
            </w:r>
            <w:r w:rsidR="00741F40">
              <w:rPr>
                <w:rFonts w:ascii="Times New Roman" w:hAnsi="Times New Roman" w:cs="Times New Roman"/>
              </w:rPr>
              <w:t>;</w:t>
            </w:r>
          </w:p>
          <w:p w:rsidR="00AE1711" w:rsidRPr="00AE1711" w:rsidRDefault="00AE1711" w:rsidP="00AE1711">
            <w:pPr>
              <w:pStyle w:val="Paragrafoelenco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AE1711">
              <w:rPr>
                <w:rFonts w:ascii="Times New Roman" w:hAnsi="Times New Roman" w:cs="Times New Roman"/>
              </w:rPr>
              <w:t>Canali di trattamento: almeno 20</w:t>
            </w:r>
            <w:r w:rsidR="00741F40">
              <w:rPr>
                <w:rFonts w:ascii="Times New Roman" w:hAnsi="Times New Roman" w:cs="Times New Roman"/>
              </w:rPr>
              <w:t>;</w:t>
            </w:r>
          </w:p>
          <w:p w:rsidR="00AE1711" w:rsidRPr="00AE1711" w:rsidRDefault="00AE1711" w:rsidP="00AE1711">
            <w:pPr>
              <w:pStyle w:val="Paragrafoelenco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AE1711">
              <w:rPr>
                <w:rFonts w:ascii="Times New Roman" w:hAnsi="Times New Roman" w:cs="Times New Roman"/>
              </w:rPr>
              <w:t>Step Sorgente: Step minimo ≤ 2.5 mm</w:t>
            </w:r>
            <w:r w:rsidR="00741F40">
              <w:rPr>
                <w:rFonts w:ascii="Times New Roman" w:hAnsi="Times New Roman" w:cs="Times New Roman"/>
              </w:rPr>
              <w:t>;</w:t>
            </w:r>
          </w:p>
          <w:p w:rsidR="00AE1711" w:rsidRPr="00741F40" w:rsidRDefault="00AE1711" w:rsidP="00AE1711">
            <w:pPr>
              <w:pStyle w:val="Paragrafoelenco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AE1711">
              <w:rPr>
                <w:rFonts w:ascii="Times New Roman" w:hAnsi="Times New Roman" w:cs="Times New Roman"/>
              </w:rPr>
              <w:t>Verifiche di sicurezza: Check automatico funzionalità del sistema. Sorgente di prova su linea indipendente per verifica connessioni, selezione corretta dei canali e loro pervietà. Rientro automatico della sorgente in caso di mancanza di alimentazione e salvataggio della parte di trattamento già erogato. Sistema meccanico per rientro manuale della sorgente</w:t>
            </w:r>
            <w:r w:rsidR="00741F40">
              <w:rPr>
                <w:rFonts w:ascii="Times New Roman" w:hAnsi="Times New Roman" w:cs="Times New Roman"/>
              </w:rPr>
              <w:t>;</w:t>
            </w:r>
          </w:p>
          <w:p w:rsidR="00741F40" w:rsidRPr="00741F40" w:rsidRDefault="00741F40" w:rsidP="00741F40">
            <w:pPr>
              <w:pStyle w:val="Paragrafoelenco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</w:rPr>
            </w:pPr>
            <w:r w:rsidRPr="00741F40">
              <w:rPr>
                <w:rFonts w:ascii="Times New Roman" w:hAnsi="Times New Roman" w:cs="Times New Roman"/>
              </w:rPr>
              <w:t>Definizione delle modalità operative inerenti la sostituzione della sorgente (da 3 a 4 volte/anno);</w:t>
            </w:r>
          </w:p>
          <w:p w:rsidR="00741F40" w:rsidRPr="00741F40" w:rsidRDefault="00741F40" w:rsidP="00741F40">
            <w:pPr>
              <w:pStyle w:val="Paragrafoelenco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</w:rPr>
            </w:pPr>
            <w:r w:rsidRPr="00741F40">
              <w:rPr>
                <w:rFonts w:ascii="Times New Roman" w:hAnsi="Times New Roman" w:cs="Times New Roman"/>
              </w:rPr>
              <w:t>Definizione della modalità e tipologia dei controlli in occasione della sostituzione della sorgente.</w:t>
            </w:r>
          </w:p>
          <w:p w:rsidR="00741F40" w:rsidRPr="00AE1711" w:rsidRDefault="00741F40" w:rsidP="00741F40">
            <w:pPr>
              <w:pStyle w:val="Paragrafoelenco"/>
              <w:spacing w:after="0"/>
              <w:rPr>
                <w:rFonts w:ascii="Times New Roman" w:hAnsi="Times New Roman" w:cs="Times New Roman"/>
                <w:b/>
              </w:rPr>
            </w:pPr>
          </w:p>
          <w:p w:rsidR="00AE1711" w:rsidRDefault="00AE1711" w:rsidP="00AE1711">
            <w:pPr>
              <w:rPr>
                <w:b/>
              </w:rPr>
            </w:pPr>
          </w:p>
          <w:p w:rsidR="00AE1711" w:rsidRPr="00480F4B" w:rsidRDefault="00AE1711" w:rsidP="00AE1711">
            <w:pPr>
              <w:rPr>
                <w:b/>
              </w:rPr>
            </w:pPr>
            <w:r w:rsidRPr="00480F4B">
              <w:rPr>
                <w:b/>
              </w:rPr>
              <w:t>Caratteristiche Migliorative</w:t>
            </w:r>
          </w:p>
          <w:p w:rsidR="00AE1711" w:rsidRPr="00AE1711" w:rsidRDefault="00AE1711" w:rsidP="00AE1711">
            <w:pPr>
              <w:pStyle w:val="Paragrafoelenco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AE1711">
              <w:rPr>
                <w:rFonts w:ascii="Times New Roman" w:hAnsi="Times New Roman" w:cs="Times New Roman"/>
              </w:rPr>
              <w:t>Predisposizione Co-60;</w:t>
            </w:r>
          </w:p>
          <w:p w:rsidR="00AE1711" w:rsidRPr="00AE1711" w:rsidRDefault="00AE1711" w:rsidP="00AE1711">
            <w:pPr>
              <w:pStyle w:val="Paragrafoelenco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E1711">
              <w:rPr>
                <w:rFonts w:ascii="Times New Roman" w:hAnsi="Times New Roman" w:cs="Times New Roman"/>
              </w:rPr>
              <w:t>Step</w:t>
            </w:r>
            <w:proofErr w:type="spellEnd"/>
            <w:r w:rsidRPr="00AE1711">
              <w:rPr>
                <w:rFonts w:ascii="Times New Roman" w:hAnsi="Times New Roman" w:cs="Times New Roman"/>
              </w:rPr>
              <w:t xml:space="preserve"> Sorgente: a partire da 1mm;</w:t>
            </w:r>
          </w:p>
          <w:p w:rsidR="00AE1711" w:rsidRPr="00AE1711" w:rsidRDefault="00AE1711" w:rsidP="00AE1711">
            <w:pPr>
              <w:pStyle w:val="Paragrafoelenco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AE1711">
              <w:rPr>
                <w:rFonts w:ascii="Times New Roman" w:hAnsi="Times New Roman" w:cs="Times New Roman"/>
              </w:rPr>
              <w:t>Sistema di dosimetria integrato;</w:t>
            </w:r>
          </w:p>
          <w:p w:rsidR="006C557F" w:rsidRPr="006C557F" w:rsidRDefault="006C557F" w:rsidP="006C557F">
            <w:pPr>
              <w:pStyle w:val="Paragrafoelenco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6C557F">
              <w:rPr>
                <w:rFonts w:ascii="Times New Roman" w:hAnsi="Times New Roman" w:cs="Times New Roman"/>
              </w:rPr>
              <w:t xml:space="preserve">Barella compatibile con la MR Philips – modello </w:t>
            </w:r>
            <w:proofErr w:type="spellStart"/>
            <w:r w:rsidRPr="006C557F">
              <w:rPr>
                <w:rFonts w:ascii="Times New Roman" w:hAnsi="Times New Roman" w:cs="Times New Roman"/>
              </w:rPr>
              <w:t>Ingenia</w:t>
            </w:r>
            <w:proofErr w:type="spellEnd"/>
            <w:r w:rsidRPr="006C557F">
              <w:rPr>
                <w:rFonts w:ascii="Times New Roman" w:hAnsi="Times New Roman" w:cs="Times New Roman"/>
              </w:rPr>
              <w:t xml:space="preserve"> 1,5T presente in INT con top </w:t>
            </w:r>
            <w:proofErr w:type="spellStart"/>
            <w:r w:rsidRPr="006C557F">
              <w:rPr>
                <w:rFonts w:ascii="Times New Roman" w:hAnsi="Times New Roman" w:cs="Times New Roman"/>
              </w:rPr>
              <w:t>scivolabile</w:t>
            </w:r>
            <w:proofErr w:type="spellEnd"/>
            <w:r w:rsidRPr="006C557F">
              <w:rPr>
                <w:rFonts w:ascii="Times New Roman" w:hAnsi="Times New Roman" w:cs="Times New Roman"/>
              </w:rPr>
              <w:t xml:space="preserve"> per il trasporto delle pazienti ginecologiche con applicatore inserito.</w:t>
            </w:r>
          </w:p>
          <w:p w:rsidR="00170975" w:rsidRPr="00AE1711" w:rsidRDefault="00170975" w:rsidP="006C557F">
            <w:pPr>
              <w:pStyle w:val="Paragrafoelenco"/>
              <w:spacing w:after="0"/>
              <w:rPr>
                <w:rFonts w:ascii="Tahoma" w:hAnsi="Tahoma" w:cs="Tahoma"/>
                <w:bCs/>
                <w:highlight w:val="yellow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170975" w:rsidRPr="00C045AA" w:rsidRDefault="00170975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5566A" w:rsidRPr="00C045AA" w:rsidTr="00170975">
        <w:trPr>
          <w:cantSplit/>
          <w:trHeight w:val="565"/>
        </w:trPr>
        <w:tc>
          <w:tcPr>
            <w:tcW w:w="5882" w:type="dxa"/>
            <w:shd w:val="clear" w:color="auto" w:fill="auto"/>
          </w:tcPr>
          <w:p w:rsidR="00AE1711" w:rsidRPr="00AE1711" w:rsidRDefault="00AE1711" w:rsidP="00AE1711">
            <w:pPr>
              <w:rPr>
                <w:b/>
                <w:sz w:val="28"/>
                <w:u w:val="single"/>
              </w:rPr>
            </w:pPr>
            <w:r w:rsidRPr="00AE1711">
              <w:rPr>
                <w:b/>
                <w:sz w:val="28"/>
                <w:u w:val="single"/>
              </w:rPr>
              <w:t>SISTEMI PER QA:</w:t>
            </w:r>
          </w:p>
          <w:p w:rsidR="00AE1711" w:rsidRPr="00AE1711" w:rsidRDefault="00AE1711" w:rsidP="00AE1711">
            <w:pPr>
              <w:rPr>
                <w:b/>
              </w:rPr>
            </w:pPr>
            <w:r w:rsidRPr="00AE1711">
              <w:rPr>
                <w:b/>
              </w:rPr>
              <w:t>Caratteristiche Tecniche</w:t>
            </w:r>
          </w:p>
          <w:p w:rsidR="00AE1711" w:rsidRPr="00AE1711" w:rsidRDefault="006C557F" w:rsidP="00AE1711">
            <w:pPr>
              <w:pStyle w:val="Paragrafoelenco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Dosime</w:t>
            </w:r>
            <w:r w:rsidR="00AE1711" w:rsidRPr="00AE1711">
              <w:rPr>
                <w:rFonts w:ascii="Times New Roman" w:hAnsi="Times New Roman" w:cs="Times New Roman"/>
              </w:rPr>
              <w:t>tria: Cilindro adattatore compatibile con la camera a pozzetto già in uso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5566A" w:rsidRPr="00AE1711" w:rsidRDefault="00AE1711" w:rsidP="00AE1711">
            <w:pPr>
              <w:pStyle w:val="Paragrafoelenco"/>
              <w:numPr>
                <w:ilvl w:val="0"/>
                <w:numId w:val="39"/>
              </w:numPr>
              <w:spacing w:after="0"/>
              <w:rPr>
                <w:rFonts w:ascii="Verdana" w:hAnsi="Verdana"/>
                <w:sz w:val="22"/>
                <w:szCs w:val="22"/>
              </w:rPr>
            </w:pPr>
            <w:r w:rsidRPr="00AE1711">
              <w:rPr>
                <w:rFonts w:ascii="Times New Roman" w:hAnsi="Times New Roman" w:cs="Times New Roman"/>
              </w:rPr>
              <w:t>Sistema per verifica posizione sorgente con accuratezza di 0.5 mm.</w:t>
            </w:r>
          </w:p>
        </w:tc>
        <w:tc>
          <w:tcPr>
            <w:tcW w:w="2838" w:type="dxa"/>
            <w:shd w:val="clear" w:color="auto" w:fill="auto"/>
            <w:noWrap/>
          </w:tcPr>
          <w:p w:rsidR="0045566A" w:rsidRPr="00C045AA" w:rsidRDefault="0045566A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47E0A" w:rsidRPr="00C045AA" w:rsidTr="00170975">
        <w:trPr>
          <w:cantSplit/>
          <w:trHeight w:val="565"/>
        </w:trPr>
        <w:tc>
          <w:tcPr>
            <w:tcW w:w="5882" w:type="dxa"/>
            <w:shd w:val="clear" w:color="auto" w:fill="auto"/>
          </w:tcPr>
          <w:p w:rsidR="007D385F" w:rsidRPr="00480F4B" w:rsidRDefault="007D385F" w:rsidP="007D385F">
            <w:pPr>
              <w:rPr>
                <w:b/>
                <w:sz w:val="28"/>
                <w:u w:val="single"/>
              </w:rPr>
            </w:pPr>
            <w:r w:rsidRPr="00480F4B">
              <w:rPr>
                <w:b/>
                <w:sz w:val="28"/>
                <w:u w:val="single"/>
              </w:rPr>
              <w:lastRenderedPageBreak/>
              <w:t>TPS BRACHITERAPIA GENERICO:</w:t>
            </w:r>
          </w:p>
          <w:p w:rsidR="007D385F" w:rsidRPr="00480F4B" w:rsidRDefault="007D385F" w:rsidP="007D385F">
            <w:pPr>
              <w:rPr>
                <w:b/>
              </w:rPr>
            </w:pPr>
            <w:r w:rsidRPr="00480F4B">
              <w:rPr>
                <w:b/>
              </w:rPr>
              <w:t>Caratteristiche Tecniche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Stazione di calcolo dedicata</w:t>
            </w:r>
            <w:r w:rsidR="006C557F">
              <w:rPr>
                <w:rFonts w:ascii="Times New Roman" w:hAnsi="Times New Roman" w:cs="Times New Roman"/>
              </w:rPr>
              <w:t>, predisposta per TG-186</w:t>
            </w:r>
            <w:r w:rsidRPr="007D385F">
              <w:rPr>
                <w:rFonts w:ascii="Times New Roman" w:hAnsi="Times New Roman" w:cs="Times New Roman"/>
              </w:rPr>
              <w:t>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Software con licenza dedicata;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Im</w:t>
            </w:r>
            <w:r w:rsidR="006C557F">
              <w:rPr>
                <w:rFonts w:ascii="Times New Roman" w:hAnsi="Times New Roman" w:cs="Times New Roman"/>
              </w:rPr>
              <w:t>magini: TC/RM; Compatibilità</w:t>
            </w:r>
            <w:r w:rsidRPr="007D385F">
              <w:rPr>
                <w:rFonts w:ascii="Times New Roman" w:hAnsi="Times New Roman" w:cs="Times New Roman"/>
              </w:rPr>
              <w:t xml:space="preserve"> DICOM RT in ingresso e in uscita;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Fusione immagini: Fusione rigida con TC/RM</w:t>
            </w:r>
            <w:r w:rsidR="006C557F">
              <w:rPr>
                <w:rFonts w:ascii="Times New Roman" w:hAnsi="Times New Roman" w:cs="Times New Roman"/>
              </w:rPr>
              <w:t>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Visualizzazione immagini: piani coplanari e non coplanari con interpolazione per fette intermedie;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 xml:space="preserve">Ricostruzione applicatori: libreria; 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Contorni: Compatibilità DICOM in ingresso e in uscita;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Ottimizzazione della dose: Algoritmi di ottimizzazione dirette e indiretta;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Calcolo della dose: Algoritmo AAPM-TG43;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Dose: Compatibilità DICOM in ingresso e in uscita;</w:t>
            </w:r>
          </w:p>
          <w:p w:rsidR="007D385F" w:rsidRPr="006C557F" w:rsidRDefault="007D385F" w:rsidP="007D385F">
            <w:pPr>
              <w:pStyle w:val="Paragrafoelenco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DVH: Preset impostabili; esportazione dati in formato testo</w:t>
            </w:r>
            <w:r w:rsidR="006C557F">
              <w:rPr>
                <w:rFonts w:ascii="Times New Roman" w:hAnsi="Times New Roman" w:cs="Times New Roman"/>
              </w:rPr>
              <w:t>;</w:t>
            </w:r>
          </w:p>
          <w:p w:rsidR="006C557F" w:rsidRPr="007D385F" w:rsidRDefault="006C557F" w:rsidP="006C557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Stampa: semplicità/praticità.</w:t>
            </w:r>
          </w:p>
          <w:p w:rsidR="006C557F" w:rsidRPr="007D385F" w:rsidRDefault="006C557F" w:rsidP="006C557F">
            <w:pPr>
              <w:pStyle w:val="Paragrafoelenco"/>
              <w:spacing w:after="0"/>
              <w:rPr>
                <w:rFonts w:ascii="Times New Roman" w:hAnsi="Times New Roman" w:cs="Times New Roman"/>
                <w:b/>
              </w:rPr>
            </w:pPr>
          </w:p>
          <w:p w:rsidR="007D385F" w:rsidRDefault="007D385F" w:rsidP="007D385F">
            <w:pPr>
              <w:ind w:left="360" w:hanging="360"/>
              <w:rPr>
                <w:b/>
              </w:rPr>
            </w:pPr>
            <w:r w:rsidRPr="00480F4B">
              <w:rPr>
                <w:b/>
              </w:rPr>
              <w:t>Caratteristiche Migliorative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>Più stazioni di calcolo;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7D385F">
              <w:rPr>
                <w:rFonts w:ascii="Times New Roman" w:hAnsi="Times New Roman" w:cs="Times New Roman"/>
              </w:rPr>
              <w:t xml:space="preserve">Licenza </w:t>
            </w:r>
            <w:proofErr w:type="spellStart"/>
            <w:r w:rsidRPr="007D385F">
              <w:rPr>
                <w:rFonts w:ascii="Times New Roman" w:hAnsi="Times New Roman" w:cs="Times New Roman"/>
              </w:rPr>
              <w:t>floating</w:t>
            </w:r>
            <w:proofErr w:type="spellEnd"/>
            <w:r w:rsidRPr="007D385F">
              <w:rPr>
                <w:rFonts w:ascii="Times New Roman" w:hAnsi="Times New Roman" w:cs="Times New Roman"/>
              </w:rPr>
              <w:t xml:space="preserve"> o più licenze;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7D385F">
              <w:rPr>
                <w:rFonts w:ascii="Times New Roman" w:hAnsi="Times New Roman" w:cs="Times New Roman"/>
              </w:rPr>
              <w:t>Immagini: fusione con Med Nucl/US;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7D385F">
              <w:rPr>
                <w:rFonts w:ascii="Times New Roman" w:hAnsi="Times New Roman" w:cs="Times New Roman"/>
              </w:rPr>
              <w:t>Fusione deformabile con TC/RM/US e con Med Nucl;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7D385F">
              <w:rPr>
                <w:rFonts w:ascii="Times New Roman" w:hAnsi="Times New Roman" w:cs="Times New Roman"/>
              </w:rPr>
              <w:t>Riconoscimento automatico applicatori/aghi;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7D385F">
              <w:rPr>
                <w:rFonts w:ascii="Times New Roman" w:hAnsi="Times New Roman" w:cs="Times New Roman"/>
              </w:rPr>
              <w:t>Contorni: ricostruzione su immagini di molteplici piani di riferimento;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7D385F">
              <w:rPr>
                <w:rFonts w:ascii="Times New Roman" w:hAnsi="Times New Roman" w:cs="Times New Roman"/>
              </w:rPr>
              <w:t>Ottimizzazione della dose: ulteriori algoritmi di ottimizzazione indiretta e ottimizzazione basata su BED;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7D385F">
              <w:rPr>
                <w:rFonts w:ascii="Times New Roman" w:hAnsi="Times New Roman" w:cs="Times New Roman"/>
              </w:rPr>
              <w:t xml:space="preserve">Calcolo della dose: Modelli </w:t>
            </w:r>
            <w:r w:rsidR="006C557F">
              <w:rPr>
                <w:rFonts w:ascii="Times New Roman" w:hAnsi="Times New Roman" w:cs="Times New Roman"/>
              </w:rPr>
              <w:t>(</w:t>
            </w:r>
            <w:r w:rsidRPr="007D385F">
              <w:rPr>
                <w:rFonts w:ascii="Times New Roman" w:hAnsi="Times New Roman" w:cs="Times New Roman"/>
              </w:rPr>
              <w:t>TG-186</w:t>
            </w:r>
            <w:r w:rsidR="006C557F">
              <w:rPr>
                <w:rFonts w:ascii="Times New Roman" w:hAnsi="Times New Roman" w:cs="Times New Roman"/>
              </w:rPr>
              <w:t>)</w:t>
            </w:r>
            <w:r w:rsidRPr="007D385F">
              <w:rPr>
                <w:rFonts w:ascii="Times New Roman" w:hAnsi="Times New Roman" w:cs="Times New Roman"/>
              </w:rPr>
              <w:t>;</w:t>
            </w:r>
          </w:p>
          <w:p w:rsidR="007D385F" w:rsidRPr="007D385F" w:rsidRDefault="007D385F" w:rsidP="007D385F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7D385F">
              <w:rPr>
                <w:rFonts w:ascii="Times New Roman" w:hAnsi="Times New Roman" w:cs="Times New Roman"/>
              </w:rPr>
              <w:t>Dose: cumulabilità diretta con altre distribuzioni di dose, calcolo EQD2;</w:t>
            </w:r>
          </w:p>
          <w:p w:rsidR="00717198" w:rsidRPr="00413EBA" w:rsidRDefault="007D385F" w:rsidP="00413EBA">
            <w:pPr>
              <w:pStyle w:val="Paragrafoelenco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7D385F">
              <w:rPr>
                <w:rFonts w:ascii="Times New Roman" w:hAnsi="Times New Roman" w:cs="Times New Roman"/>
              </w:rPr>
              <w:t>Applicazioni speciali: brachiterapia prostata con pianificazione real-time.</w:t>
            </w:r>
          </w:p>
        </w:tc>
        <w:tc>
          <w:tcPr>
            <w:tcW w:w="2838" w:type="dxa"/>
            <w:shd w:val="clear" w:color="auto" w:fill="auto"/>
            <w:noWrap/>
          </w:tcPr>
          <w:p w:rsidR="00447E0A" w:rsidRPr="00C045AA" w:rsidRDefault="00447E0A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47E0A" w:rsidRPr="00C045AA" w:rsidTr="00170975">
        <w:trPr>
          <w:cantSplit/>
          <w:trHeight w:val="565"/>
        </w:trPr>
        <w:tc>
          <w:tcPr>
            <w:tcW w:w="5882" w:type="dxa"/>
            <w:shd w:val="clear" w:color="auto" w:fill="auto"/>
          </w:tcPr>
          <w:p w:rsidR="00413EBA" w:rsidRDefault="00413EBA" w:rsidP="00413EBA">
            <w:pPr>
              <w:rPr>
                <w:b/>
                <w:sz w:val="28"/>
                <w:u w:val="single"/>
              </w:rPr>
            </w:pPr>
            <w:r w:rsidRPr="00A56F04">
              <w:rPr>
                <w:b/>
                <w:sz w:val="28"/>
                <w:u w:val="single"/>
              </w:rPr>
              <w:lastRenderedPageBreak/>
              <w:t>TPS BRACHITERAPIA PROSTATA CON PIANIFICAZIONE REAL-TIME:</w:t>
            </w:r>
          </w:p>
          <w:p w:rsidR="00413EBA" w:rsidRPr="00480F4B" w:rsidRDefault="00413EBA" w:rsidP="00413EBA">
            <w:pPr>
              <w:rPr>
                <w:b/>
              </w:rPr>
            </w:pPr>
            <w:r w:rsidRPr="00480F4B">
              <w:rPr>
                <w:b/>
              </w:rPr>
              <w:t>Caratteristiche Tecniche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Stazione di calcolo dedicata o siste</w:t>
            </w:r>
            <w:r w:rsidR="00AE3343">
              <w:rPr>
                <w:rFonts w:ascii="Times New Roman" w:hAnsi="Times New Roman" w:cs="Times New Roman"/>
              </w:rPr>
              <w:t>ma di calcolo compatibile con T</w:t>
            </w:r>
            <w:r w:rsidRPr="00413EBA">
              <w:rPr>
                <w:rFonts w:ascii="Times New Roman" w:hAnsi="Times New Roman" w:cs="Times New Roman"/>
              </w:rPr>
              <w:t>P</w:t>
            </w:r>
            <w:r w:rsidR="00AE3343">
              <w:rPr>
                <w:rFonts w:ascii="Times New Roman" w:hAnsi="Times New Roman" w:cs="Times New Roman"/>
              </w:rPr>
              <w:t>S</w:t>
            </w:r>
            <w:r w:rsidRPr="00413EBA">
              <w:rPr>
                <w:rFonts w:ascii="Times New Roman" w:hAnsi="Times New Roman" w:cs="Times New Roman"/>
              </w:rPr>
              <w:t xml:space="preserve"> generico (compatibilità con ecografo BK presente o sostituzione ecografo</w:t>
            </w:r>
            <w:r w:rsidR="00AE334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="00AE3343">
              <w:rPr>
                <w:rFonts w:ascii="Times New Roman" w:hAnsi="Times New Roman" w:cs="Times New Roman"/>
              </w:rPr>
              <w:t>stepper</w:t>
            </w:r>
            <w:proofErr w:type="spellEnd"/>
            <w:r w:rsidR="00AE3343">
              <w:rPr>
                <w:rFonts w:ascii="Times New Roman" w:hAnsi="Times New Roman" w:cs="Times New Roman"/>
              </w:rPr>
              <w:t xml:space="preserve"> encoder</w:t>
            </w:r>
            <w:r w:rsidRPr="00413EBA">
              <w:rPr>
                <w:rFonts w:ascii="Times New Roman" w:hAnsi="Times New Roman" w:cs="Times New Roman"/>
              </w:rPr>
              <w:t>);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Software: licenza dedicata – sistema per real-time planning;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Immagini: TC/RM/US; compatibilità DICOM RT in ingresso e in uscita;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Fusione rigida delle immagini US/TC/RM;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Visualizzazione immagini su piani coplanari e non coplanari con interpolazione per fette intermedie;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Contorni: Compatibilità DICOM RT in ingresso e uscita;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Ottimizzazione della dose: Algoritmi di ottimizzazione diretta e indiretta;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Calcolo della dose: Algoritmo AAPM-TG43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Dose: Compatibilità DICOM RT in ingresso e in uscita;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DVH: Preset impostabili; esportazione dati in formato testo.</w:t>
            </w:r>
          </w:p>
          <w:p w:rsidR="00413EBA" w:rsidRDefault="00413EBA" w:rsidP="00413EBA">
            <w:pPr>
              <w:rPr>
                <w:b/>
              </w:rPr>
            </w:pPr>
            <w:r w:rsidRPr="00480F4B">
              <w:rPr>
                <w:b/>
              </w:rPr>
              <w:t>Caratteristiche Migliorative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Più stazioni di calcolo;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413EBA">
              <w:rPr>
                <w:rFonts w:ascii="Times New Roman" w:hAnsi="Times New Roman" w:cs="Times New Roman"/>
              </w:rPr>
              <w:t>Licenza floating o più licenze;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</w:rPr>
            </w:pPr>
            <w:r w:rsidRPr="00413EBA">
              <w:rPr>
                <w:rFonts w:ascii="Times New Roman" w:hAnsi="Times New Roman" w:cs="Times New Roman"/>
              </w:rPr>
              <w:t>Immagini: fusione con Med Nucl;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</w:rPr>
            </w:pPr>
            <w:r w:rsidRPr="00413EBA">
              <w:rPr>
                <w:rFonts w:ascii="Times New Roman" w:hAnsi="Times New Roman" w:cs="Times New Roman"/>
              </w:rPr>
              <w:t>Fusione rigida o deformabile tra US/TC/RM/Med Nucl;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</w:rPr>
            </w:pPr>
            <w:r w:rsidRPr="00413EBA">
              <w:rPr>
                <w:rFonts w:ascii="Times New Roman" w:hAnsi="Times New Roman" w:cs="Times New Roman"/>
              </w:rPr>
              <w:t>Riconoscimento automatico applicatori/aghi;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</w:rPr>
            </w:pPr>
            <w:r w:rsidRPr="00413EBA">
              <w:rPr>
                <w:rFonts w:ascii="Times New Roman" w:hAnsi="Times New Roman" w:cs="Times New Roman"/>
              </w:rPr>
              <w:t>Contorni: ricostruzione su immagini di molteplici piani di riferimento;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</w:rPr>
            </w:pPr>
            <w:r w:rsidRPr="00413EBA">
              <w:rPr>
                <w:rFonts w:ascii="Times New Roman" w:hAnsi="Times New Roman" w:cs="Times New Roman"/>
              </w:rPr>
              <w:t>Ottimizzazione della dose: ulteriori algoritmi di ottimizzazione indiretta e ottimizzazione basata su BED;</w:t>
            </w:r>
          </w:p>
          <w:p w:rsidR="00413EB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</w:rPr>
            </w:pPr>
            <w:r w:rsidRPr="00413EBA">
              <w:rPr>
                <w:rFonts w:ascii="Times New Roman" w:hAnsi="Times New Roman" w:cs="Times New Roman"/>
              </w:rPr>
              <w:t xml:space="preserve">Calcolo della dose: Modelli </w:t>
            </w:r>
            <w:r w:rsidR="00AE3343">
              <w:rPr>
                <w:rFonts w:ascii="Times New Roman" w:hAnsi="Times New Roman" w:cs="Times New Roman"/>
              </w:rPr>
              <w:t>(</w:t>
            </w:r>
            <w:r w:rsidRPr="00413EBA">
              <w:rPr>
                <w:rFonts w:ascii="Times New Roman" w:hAnsi="Times New Roman" w:cs="Times New Roman"/>
              </w:rPr>
              <w:t>TG-186</w:t>
            </w:r>
            <w:r w:rsidR="00AE3343">
              <w:rPr>
                <w:rFonts w:ascii="Times New Roman" w:hAnsi="Times New Roman" w:cs="Times New Roman"/>
              </w:rPr>
              <w:t>)</w:t>
            </w:r>
            <w:r w:rsidRPr="00413EBA">
              <w:rPr>
                <w:rFonts w:ascii="Times New Roman" w:hAnsi="Times New Roman" w:cs="Times New Roman"/>
              </w:rPr>
              <w:t>;</w:t>
            </w:r>
          </w:p>
          <w:p w:rsidR="00447E0A" w:rsidRPr="00413EBA" w:rsidRDefault="00413EBA" w:rsidP="00413EBA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</w:rPr>
            </w:pPr>
            <w:r w:rsidRPr="00413EBA">
              <w:rPr>
                <w:rFonts w:ascii="Times New Roman" w:hAnsi="Times New Roman" w:cs="Times New Roman"/>
              </w:rPr>
              <w:t>Dose: cumulabilità diretta con altre distribuzioni di dose, calcolo EQD2.</w:t>
            </w:r>
          </w:p>
        </w:tc>
        <w:tc>
          <w:tcPr>
            <w:tcW w:w="2838" w:type="dxa"/>
            <w:shd w:val="clear" w:color="auto" w:fill="auto"/>
            <w:noWrap/>
          </w:tcPr>
          <w:p w:rsidR="00447E0A" w:rsidRPr="00C045AA" w:rsidRDefault="00447E0A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47E0A" w:rsidRPr="00C045AA" w:rsidTr="00170975">
        <w:trPr>
          <w:cantSplit/>
          <w:trHeight w:val="565"/>
        </w:trPr>
        <w:tc>
          <w:tcPr>
            <w:tcW w:w="5882" w:type="dxa"/>
            <w:shd w:val="clear" w:color="auto" w:fill="auto"/>
          </w:tcPr>
          <w:p w:rsidR="00447E0A" w:rsidRDefault="00F533EA" w:rsidP="00F533EA">
            <w:pPr>
              <w:autoSpaceDE w:val="0"/>
              <w:autoSpaceDN w:val="0"/>
              <w:adjustRightInd w:val="0"/>
              <w:spacing w:line="360" w:lineRule="auto"/>
            </w:pPr>
            <w:r w:rsidRPr="00F533EA">
              <w:rPr>
                <w:b/>
                <w:u w:val="single"/>
              </w:rPr>
              <w:lastRenderedPageBreak/>
              <w:t>Applicatori</w:t>
            </w:r>
            <w:r w:rsidRPr="00944CFA">
              <w:t>: compatibilità o sostituzione</w:t>
            </w:r>
          </w:p>
          <w:p w:rsidR="00F533EA" w:rsidRPr="00CA7682" w:rsidRDefault="00F533EA" w:rsidP="00F533EA">
            <w:pPr>
              <w:jc w:val="both"/>
              <w:rPr>
                <w:b/>
              </w:rPr>
            </w:pPr>
            <w:r w:rsidRPr="00CA7682">
              <w:rPr>
                <w:b/>
              </w:rPr>
              <w:t>Varianti migliorative per applicatori:</w:t>
            </w:r>
          </w:p>
          <w:p w:rsidR="00F533EA" w:rsidRPr="00F533EA" w:rsidRDefault="00F533EA" w:rsidP="00F533EA">
            <w:pPr>
              <w:pStyle w:val="Paragrafoelenco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F533EA">
              <w:rPr>
                <w:rFonts w:ascii="Times New Roman" w:hAnsi="Times New Roman" w:cs="Times New Roman"/>
              </w:rPr>
              <w:t>box sterilizzazione per tutti gli applicatori dedicati al trattamento della vagina, della cervice e dell’endometrio, offerti o già presenti presso la Fondazione;</w:t>
            </w:r>
          </w:p>
          <w:p w:rsidR="00F533EA" w:rsidRPr="00F533EA" w:rsidRDefault="00F533EA" w:rsidP="00F533EA">
            <w:pPr>
              <w:pStyle w:val="Paragrafoelenco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F533EA">
              <w:rPr>
                <w:rFonts w:ascii="Times New Roman" w:hAnsi="Times New Roman" w:cs="Times New Roman"/>
              </w:rPr>
              <w:t>sorgenti fittizie MR compatibili per ogni applicatore dedicato al trattamento della vagina e cervice, offerto o già presente presso la Fondazione;</w:t>
            </w:r>
          </w:p>
          <w:p w:rsidR="00F533EA" w:rsidRDefault="00F533EA" w:rsidP="00F533EA">
            <w:pPr>
              <w:pStyle w:val="Paragrafoelenco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F533EA">
              <w:rPr>
                <w:rFonts w:ascii="Times New Roman" w:hAnsi="Times New Roman" w:cs="Times New Roman"/>
              </w:rPr>
              <w:t xml:space="preserve">Sistema per appendere </w:t>
            </w:r>
            <w:r w:rsidR="007108CA">
              <w:rPr>
                <w:rFonts w:ascii="Times New Roman" w:hAnsi="Times New Roman" w:cs="Times New Roman"/>
              </w:rPr>
              <w:t>al muro i tubi di trasferimento;</w:t>
            </w:r>
          </w:p>
          <w:p w:rsidR="007108CA" w:rsidRPr="00F533EA" w:rsidRDefault="007108CA" w:rsidP="00F533EA">
            <w:pPr>
              <w:pStyle w:val="Paragrafoelenco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Prostata: accessorio per trattamento prostata.</w:t>
            </w:r>
          </w:p>
          <w:p w:rsidR="00F533EA" w:rsidRPr="00F533EA" w:rsidRDefault="00F533EA" w:rsidP="00F533EA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sz w:val="22"/>
                <w:szCs w:val="22"/>
                <w:highlight w:val="yellow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447E0A" w:rsidRPr="00C045AA" w:rsidRDefault="00447E0A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sz w:val="22"/>
                <w:szCs w:val="22"/>
              </w:rPr>
              <w:t xml:space="preserve">CARATTERISTICHE IMPIANTISTICHE ED INSTALLAZIONE </w:t>
            </w:r>
            <w:r w:rsidRPr="00C045AA">
              <w:rPr>
                <w:rFonts w:ascii="Verdana" w:hAnsi="Verdana"/>
                <w:b/>
                <w:i/>
                <w:color w:val="3366FF"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Dimensioni (cm: </w:t>
            </w:r>
            <w:proofErr w:type="spellStart"/>
            <w:r w:rsidRPr="00C045AA">
              <w:rPr>
                <w:rFonts w:ascii="Verdana" w:hAnsi="Verdana"/>
                <w:sz w:val="22"/>
                <w:szCs w:val="22"/>
              </w:rPr>
              <w:t>altXlargXprof</w:t>
            </w:r>
            <w:proofErr w:type="spellEnd"/>
            <w:r w:rsidRPr="00C045AA">
              <w:rPr>
                <w:rFonts w:ascii="Verdana" w:hAnsi="Verdana"/>
                <w:sz w:val="22"/>
                <w:szCs w:val="22"/>
              </w:rPr>
              <w:t>)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Trasportabilità sistema (se si descrivere)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Alimentazione elettrica (monofase, trifase)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Potenza elettrica assorbita in stand-by e in </w:t>
            </w:r>
            <w:r w:rsidR="00D631AB" w:rsidRPr="00C045AA">
              <w:rPr>
                <w:rFonts w:ascii="Verdana" w:hAnsi="Verdana"/>
                <w:sz w:val="22"/>
                <w:szCs w:val="22"/>
              </w:rPr>
              <w:t>funzionamento</w:t>
            </w:r>
            <w:r w:rsidRPr="00C045AA">
              <w:rPr>
                <w:rFonts w:ascii="Verdana" w:hAnsi="Verdana"/>
                <w:sz w:val="22"/>
                <w:szCs w:val="22"/>
              </w:rPr>
              <w:t xml:space="preserve"> (</w:t>
            </w:r>
            <w:r w:rsidR="00D631AB" w:rsidRPr="00C045AA">
              <w:rPr>
                <w:rFonts w:ascii="Verdana" w:hAnsi="Verdana"/>
                <w:sz w:val="22"/>
                <w:szCs w:val="22"/>
              </w:rPr>
              <w:t>k</w:t>
            </w:r>
            <w:r w:rsidRPr="00C045AA">
              <w:rPr>
                <w:rFonts w:ascii="Verdana" w:hAnsi="Verdana"/>
                <w:sz w:val="22"/>
                <w:szCs w:val="22"/>
              </w:rPr>
              <w:t>W)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Necessità di continuità della alimentazione elettrica e presenza in offerta (gruppo di continuità, stabilizzatore, </w:t>
            </w:r>
            <w:r w:rsidR="00D631AB" w:rsidRPr="00C045AA">
              <w:rPr>
                <w:rFonts w:ascii="Verdana" w:hAnsi="Verdana"/>
                <w:sz w:val="22"/>
                <w:szCs w:val="22"/>
              </w:rPr>
              <w:t>…</w:t>
            </w:r>
            <w:r w:rsidRPr="00C045AA">
              <w:rPr>
                <w:rFonts w:ascii="Verdana" w:hAnsi="Verdana"/>
                <w:sz w:val="22"/>
                <w:szCs w:val="22"/>
              </w:rPr>
              <w:t>)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Classificazione ambiente di installazione </w:t>
            </w:r>
          </w:p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(rif.: norma CEI 64-8)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Peso totale (</w:t>
            </w:r>
            <w:r w:rsidR="00D631AB" w:rsidRPr="00C045AA">
              <w:rPr>
                <w:rFonts w:ascii="Verdana" w:hAnsi="Verdana"/>
                <w:sz w:val="22"/>
                <w:szCs w:val="22"/>
              </w:rPr>
              <w:t>k</w:t>
            </w:r>
            <w:r w:rsidRPr="00C045AA">
              <w:rPr>
                <w:rFonts w:ascii="Verdana" w:hAnsi="Verdana"/>
                <w:sz w:val="22"/>
                <w:szCs w:val="22"/>
              </w:rPr>
              <w:t>g)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Distribuzione del carico (kg/m</w:t>
            </w:r>
            <w:r w:rsidR="00D631AB" w:rsidRPr="00C045AA">
              <w:rPr>
                <w:rFonts w:ascii="Verdana" w:hAnsi="Verdana"/>
                <w:sz w:val="22"/>
                <w:szCs w:val="22"/>
                <w:vertAlign w:val="superscript"/>
              </w:rPr>
              <w:t>2</w:t>
            </w:r>
            <w:r w:rsidRPr="00C045AA">
              <w:rPr>
                <w:rFonts w:ascii="Verdana" w:hAnsi="Verdana"/>
                <w:sz w:val="22"/>
                <w:szCs w:val="22"/>
              </w:rPr>
              <w:t>)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Superficie necessaria all’installazione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Opere murarie/strutturali necessarie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Necessità di particolari condizioni ambientali: temperatura, umidità, aerazione o altro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</w:tcPr>
          <w:p w:rsidR="009F6937" w:rsidRPr="00C045AA" w:rsidRDefault="009F6937" w:rsidP="00170975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Necessità di particolari condizioni di installazione/funzionamento: bombole, fluidi o altro (descrivere)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Protezioni introdotte in caso di mancanza accidentale di alimentazione di rete: riarmo automatico o manuale 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Calore disperso nell’ambiente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Esigenza di alimentazione stabilizzata entro il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Esigenza di alimentazione ininterrotta:</w:t>
            </w: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D631AB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D631AB" w:rsidRPr="00C045AA" w:rsidRDefault="00D631AB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Misure protezionistiche</w:t>
            </w:r>
          </w:p>
        </w:tc>
        <w:tc>
          <w:tcPr>
            <w:tcW w:w="2838" w:type="dxa"/>
            <w:shd w:val="clear" w:color="auto" w:fill="auto"/>
            <w:noWrap/>
          </w:tcPr>
          <w:p w:rsidR="00D631AB" w:rsidRPr="00C045AA" w:rsidRDefault="00D631AB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cap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caps/>
                <w:sz w:val="22"/>
                <w:szCs w:val="22"/>
              </w:rPr>
              <w:lastRenderedPageBreak/>
              <w:t>Sicurezza Privacy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sz w:val="22"/>
                <w:szCs w:val="22"/>
              </w:rPr>
              <w:t>(descrizione delle misure minime attuate richieste dal codice della privacy,nelle seguenti aree)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C045AA">
              <w:rPr>
                <w:rFonts w:ascii="Verdana" w:hAnsi="Verdana"/>
                <w:bCs/>
                <w:sz w:val="22"/>
                <w:szCs w:val="22"/>
              </w:rPr>
              <w:t xml:space="preserve">Rispondenza al </w:t>
            </w:r>
            <w:proofErr w:type="spellStart"/>
            <w:r w:rsidRPr="00C045AA">
              <w:rPr>
                <w:rFonts w:ascii="Verdana" w:hAnsi="Verdana"/>
                <w:bCs/>
                <w:sz w:val="22"/>
                <w:szCs w:val="22"/>
              </w:rPr>
              <w:t>D.Lgs</w:t>
            </w:r>
            <w:proofErr w:type="spellEnd"/>
            <w:r w:rsidRPr="00C045AA">
              <w:rPr>
                <w:rFonts w:ascii="Verdana" w:hAnsi="Verdana"/>
                <w:bCs/>
                <w:sz w:val="22"/>
                <w:szCs w:val="22"/>
              </w:rPr>
              <w:t xml:space="preserve"> 196/2003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sz w:val="22"/>
                <w:szCs w:val="22"/>
              </w:rPr>
              <w:t>GARANZIA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Durata della garanzia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cap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caps/>
                <w:sz w:val="22"/>
                <w:szCs w:val="22"/>
              </w:rPr>
              <w:t xml:space="preserve">Manutenzione 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D631AB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Numero di anni garantiti per la disponibilità dei pezzi di ricambio 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D631AB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D631AB" w:rsidRPr="00C045AA" w:rsidRDefault="00D631AB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Parti Considerate fuori contratto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D631AB" w:rsidRPr="00C045AA" w:rsidRDefault="00D631AB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Tempo di consegna ricambi (in contratto)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Tempo di consegna ricambi fuori contratto dell’accentazione dell’ordine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Tempo di Intervento su Chiamata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Tempo di Risoluzione Provvisoria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Tempo di risoluzione definitiva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Numero di tecnici con esperienza specifica sull’apparecchiatura (Italia)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cap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caps/>
                <w:sz w:val="22"/>
                <w:szCs w:val="22"/>
              </w:rPr>
              <w:t>Formazione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Addestramento del personale medico e tecnico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Addestramento del personale tecnico incaricato dall'azienda della manutenzione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b/>
                <w:bCs/>
                <w:caps/>
                <w:sz w:val="22"/>
                <w:szCs w:val="22"/>
              </w:rPr>
            </w:pPr>
            <w:r w:rsidRPr="00C045AA">
              <w:rPr>
                <w:rFonts w:ascii="Verdana" w:hAnsi="Verdana"/>
                <w:b/>
                <w:bCs/>
                <w:caps/>
                <w:sz w:val="22"/>
                <w:szCs w:val="22"/>
              </w:rPr>
              <w:t xml:space="preserve">Altre Caratteristiche 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Numero delle installazioni in Italia ed Europa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C045AA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 xml:space="preserve">Indicare le installazioni in ambito regionale (specificare reparto, ospedale, anno vendita) 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C045AA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F6937" w:rsidRPr="00D01E32" w:rsidTr="00170975">
        <w:trPr>
          <w:cantSplit/>
          <w:trHeight w:val="340"/>
        </w:trPr>
        <w:tc>
          <w:tcPr>
            <w:tcW w:w="5882" w:type="dxa"/>
            <w:shd w:val="clear" w:color="auto" w:fill="auto"/>
            <w:vAlign w:val="center"/>
          </w:tcPr>
          <w:p w:rsidR="009F6937" w:rsidRPr="00D01E32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  <w:r w:rsidRPr="00C045AA">
              <w:rPr>
                <w:rFonts w:ascii="Verdana" w:hAnsi="Verdana"/>
                <w:sz w:val="22"/>
                <w:szCs w:val="22"/>
              </w:rPr>
              <w:t>Numero di apparecchiature vendute in Italia ed Europa nell'ultimo anno</w:t>
            </w:r>
          </w:p>
        </w:tc>
        <w:tc>
          <w:tcPr>
            <w:tcW w:w="2838" w:type="dxa"/>
            <w:shd w:val="clear" w:color="auto" w:fill="auto"/>
            <w:noWrap/>
            <w:vAlign w:val="center"/>
          </w:tcPr>
          <w:p w:rsidR="009F6937" w:rsidRPr="00D01E32" w:rsidRDefault="009F6937" w:rsidP="00170975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DB7A61" w:rsidRPr="004B283E" w:rsidRDefault="00DB7A61" w:rsidP="00DB7A61">
      <w:pPr>
        <w:rPr>
          <w:rFonts w:ascii="Verdana" w:hAnsi="Verdana"/>
          <w:sz w:val="22"/>
          <w:szCs w:val="22"/>
        </w:rPr>
      </w:pPr>
    </w:p>
    <w:p w:rsidR="00C00843" w:rsidRPr="004B283E" w:rsidRDefault="00C00843">
      <w:pPr>
        <w:rPr>
          <w:rFonts w:ascii="Verdana" w:hAnsi="Verdana"/>
        </w:rPr>
      </w:pPr>
    </w:p>
    <w:sectPr w:rsidR="00C00843" w:rsidRPr="004B283E" w:rsidSect="00B11FE5">
      <w:headerReference w:type="default" r:id="rId7"/>
      <w:footerReference w:type="default" r:id="rId8"/>
      <w:pgSz w:w="11906" w:h="16838" w:code="9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64D" w:rsidRDefault="00A1164D">
      <w:r>
        <w:separator/>
      </w:r>
    </w:p>
  </w:endnote>
  <w:endnote w:type="continuationSeparator" w:id="0">
    <w:p w:rsidR="00A1164D" w:rsidRDefault="00A11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EAB" w:rsidRDefault="00206EAB">
    <w:pPr>
      <w:pStyle w:val="Pidipagina"/>
    </w:pPr>
    <w:r>
      <w:rPr>
        <w:rStyle w:val="Numeropagina"/>
      </w:rPr>
      <w:t xml:space="preserve">                                                                                                                                    Pagina </w:t>
    </w:r>
    <w:r w:rsidR="00C32701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C32701">
      <w:rPr>
        <w:rStyle w:val="Numeropagina"/>
      </w:rPr>
      <w:fldChar w:fldCharType="separate"/>
    </w:r>
    <w:r w:rsidR="00C00C12">
      <w:rPr>
        <w:rStyle w:val="Numeropagina"/>
        <w:noProof/>
      </w:rPr>
      <w:t>1</w:t>
    </w:r>
    <w:r w:rsidR="00C32701">
      <w:rPr>
        <w:rStyle w:val="Numeropagina"/>
      </w:rPr>
      <w:fldChar w:fldCharType="end"/>
    </w:r>
    <w:r>
      <w:rPr>
        <w:rStyle w:val="Numeropagina"/>
      </w:rPr>
      <w:t xml:space="preserve"> di </w:t>
    </w:r>
    <w:r w:rsidR="00C32701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C32701">
      <w:rPr>
        <w:rStyle w:val="Numeropagina"/>
      </w:rPr>
      <w:fldChar w:fldCharType="separate"/>
    </w:r>
    <w:r w:rsidR="00C00C12">
      <w:rPr>
        <w:rStyle w:val="Numeropagina"/>
        <w:noProof/>
      </w:rPr>
      <w:t>6</w:t>
    </w:r>
    <w:r w:rsidR="00C32701">
      <w:rPr>
        <w:rStyle w:val="Numeropagina"/>
      </w:rPr>
      <w:fldChar w:fldCharType="end"/>
    </w:r>
    <w:r>
      <w:rPr>
        <w:rStyle w:val="Numeropagina"/>
      </w:rPr>
      <w:t xml:space="preserve">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64D" w:rsidRDefault="00A1164D">
      <w:r>
        <w:separator/>
      </w:r>
    </w:p>
  </w:footnote>
  <w:footnote w:type="continuationSeparator" w:id="0">
    <w:p w:rsidR="00A1164D" w:rsidRDefault="00A116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EAB" w:rsidRDefault="00206EAB" w:rsidP="00DB7A61">
    <w:pPr>
      <w:autoSpaceDE w:val="0"/>
      <w:autoSpaceDN w:val="0"/>
      <w:adjustRightInd w:val="0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ALLEGATO </w:t>
    </w:r>
    <w:r w:rsidR="00DE155A">
      <w:rPr>
        <w:b/>
        <w:bCs/>
        <w:sz w:val="28"/>
        <w:szCs w:val="28"/>
      </w:rPr>
      <w:t>8</w:t>
    </w:r>
  </w:p>
  <w:p w:rsidR="00206EAB" w:rsidRDefault="00206EAB" w:rsidP="00DB7A61">
    <w:pPr>
      <w:autoSpaceDE w:val="0"/>
      <w:autoSpaceDN w:val="0"/>
      <w:adjustRightInd w:val="0"/>
      <w:jc w:val="center"/>
      <w:rPr>
        <w:b/>
        <w:bCs/>
        <w:sz w:val="28"/>
        <w:szCs w:val="28"/>
      </w:rPr>
    </w:pPr>
    <w:r w:rsidRPr="00C2335F">
      <w:rPr>
        <w:b/>
        <w:bCs/>
        <w:sz w:val="28"/>
        <w:szCs w:val="28"/>
      </w:rPr>
      <w:t>- SCHEDA TECNICA PRELIMINARE</w:t>
    </w:r>
    <w:r>
      <w:rPr>
        <w:b/>
        <w:bCs/>
        <w:sz w:val="28"/>
        <w:szCs w:val="28"/>
      </w:rPr>
      <w:t>-</w:t>
    </w:r>
  </w:p>
  <w:p w:rsidR="00206EAB" w:rsidRDefault="00206EAB" w:rsidP="00DB7A61">
    <w:pPr>
      <w:autoSpaceDE w:val="0"/>
      <w:autoSpaceDN w:val="0"/>
      <w:adjustRightInd w:val="0"/>
      <w:jc w:val="center"/>
      <w:rPr>
        <w:b/>
        <w:bCs/>
        <w:sz w:val="28"/>
        <w:szCs w:val="28"/>
      </w:rPr>
    </w:pPr>
  </w:p>
  <w:p w:rsidR="00206EAB" w:rsidRDefault="00206EAB" w:rsidP="00B11FE5">
    <w:pPr>
      <w:tabs>
        <w:tab w:val="left" w:pos="3546"/>
      </w:tabs>
      <w:autoSpaceDE w:val="0"/>
      <w:autoSpaceDN w:val="0"/>
      <w:adjustRightInd w:val="0"/>
      <w:rPr>
        <w:sz w:val="28"/>
        <w:szCs w:val="28"/>
      </w:rPr>
    </w:pPr>
  </w:p>
  <w:p w:rsidR="00206EAB" w:rsidRPr="00C2335F" w:rsidRDefault="00206EAB" w:rsidP="000C2764">
    <w:pPr>
      <w:autoSpaceDE w:val="0"/>
      <w:autoSpaceDN w:val="0"/>
      <w:adjustRightInd w:val="0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6pt;height:8.6pt" o:bullet="t">
        <v:imagedata r:id="rId1" o:title="BD10267_"/>
      </v:shape>
    </w:pict>
  </w:numPicBullet>
  <w:abstractNum w:abstractNumId="0">
    <w:nsid w:val="01124DAE"/>
    <w:multiLevelType w:val="hybridMultilevel"/>
    <w:tmpl w:val="ED706B1E"/>
    <w:lvl w:ilvl="0" w:tplc="359AC54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70CF4"/>
    <w:multiLevelType w:val="hybridMultilevel"/>
    <w:tmpl w:val="7C14AC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D1778"/>
    <w:multiLevelType w:val="hybridMultilevel"/>
    <w:tmpl w:val="13A4EA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D38CA"/>
    <w:multiLevelType w:val="hybridMultilevel"/>
    <w:tmpl w:val="D772B1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B69A8"/>
    <w:multiLevelType w:val="hybridMultilevel"/>
    <w:tmpl w:val="2820C250"/>
    <w:lvl w:ilvl="0" w:tplc="965E16F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7023DE"/>
    <w:multiLevelType w:val="hybridMultilevel"/>
    <w:tmpl w:val="662C0F0E"/>
    <w:lvl w:ilvl="0" w:tplc="A7BC50A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2118A"/>
    <w:multiLevelType w:val="hybridMultilevel"/>
    <w:tmpl w:val="35AC522A"/>
    <w:lvl w:ilvl="0" w:tplc="BBE49AC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BF2AC4"/>
    <w:multiLevelType w:val="hybridMultilevel"/>
    <w:tmpl w:val="980478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F7543D"/>
    <w:multiLevelType w:val="hybridMultilevel"/>
    <w:tmpl w:val="D354CA28"/>
    <w:lvl w:ilvl="0" w:tplc="990839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1FA7641"/>
    <w:multiLevelType w:val="hybridMultilevel"/>
    <w:tmpl w:val="FF724F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C6D"/>
    <w:multiLevelType w:val="hybridMultilevel"/>
    <w:tmpl w:val="9FF85D7C"/>
    <w:lvl w:ilvl="0" w:tplc="BBE49AC2">
      <w:start w:val="1"/>
      <w:numFmt w:val="bullet"/>
      <w:lvlText w:val=""/>
      <w:lvlPicBulletId w:val="0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>
    <w:nsid w:val="373A62B1"/>
    <w:multiLevelType w:val="hybridMultilevel"/>
    <w:tmpl w:val="F5F6A826"/>
    <w:lvl w:ilvl="0" w:tplc="BBE49AC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9F41C1"/>
    <w:multiLevelType w:val="hybridMultilevel"/>
    <w:tmpl w:val="71869E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E651DC"/>
    <w:multiLevelType w:val="hybridMultilevel"/>
    <w:tmpl w:val="50B4901A"/>
    <w:lvl w:ilvl="0" w:tplc="9908393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05002C8"/>
    <w:multiLevelType w:val="hybridMultilevel"/>
    <w:tmpl w:val="E91679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86694"/>
    <w:multiLevelType w:val="hybridMultilevel"/>
    <w:tmpl w:val="865CF3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72802"/>
    <w:multiLevelType w:val="hybridMultilevel"/>
    <w:tmpl w:val="43207A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3F7D8F"/>
    <w:multiLevelType w:val="hybridMultilevel"/>
    <w:tmpl w:val="66EC0200"/>
    <w:lvl w:ilvl="0" w:tplc="983A571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6C2E3C"/>
    <w:multiLevelType w:val="hybridMultilevel"/>
    <w:tmpl w:val="C87CF6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1223D5"/>
    <w:multiLevelType w:val="hybridMultilevel"/>
    <w:tmpl w:val="C88EA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093D7D"/>
    <w:multiLevelType w:val="hybridMultilevel"/>
    <w:tmpl w:val="41945A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FE75DC"/>
    <w:multiLevelType w:val="hybridMultilevel"/>
    <w:tmpl w:val="DE7AB172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95065"/>
    <w:multiLevelType w:val="hybridMultilevel"/>
    <w:tmpl w:val="AB30EC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526DDF"/>
    <w:multiLevelType w:val="hybridMultilevel"/>
    <w:tmpl w:val="C8C85510"/>
    <w:lvl w:ilvl="0" w:tplc="C6543D82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A7EE2"/>
    <w:multiLevelType w:val="hybridMultilevel"/>
    <w:tmpl w:val="111E010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E81F64"/>
    <w:multiLevelType w:val="hybridMultilevel"/>
    <w:tmpl w:val="BB346E3C"/>
    <w:lvl w:ilvl="0" w:tplc="837C97D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FC77F0"/>
    <w:multiLevelType w:val="hybridMultilevel"/>
    <w:tmpl w:val="50B0CA58"/>
    <w:lvl w:ilvl="0" w:tplc="C6543D82">
      <w:start w:val="1"/>
      <w:numFmt w:val="bullet"/>
      <w:lvlText w:val="-"/>
      <w:lvlJc w:val="left"/>
      <w:pPr>
        <w:ind w:left="1353" w:hanging="360"/>
      </w:pPr>
      <w:rPr>
        <w:rFonts w:ascii="Shruti" w:hAnsi="Shrut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B93D08"/>
    <w:multiLevelType w:val="hybridMultilevel"/>
    <w:tmpl w:val="36280AF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1623C"/>
    <w:multiLevelType w:val="hybridMultilevel"/>
    <w:tmpl w:val="C8A85838"/>
    <w:lvl w:ilvl="0" w:tplc="A7BC50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A8192B"/>
    <w:multiLevelType w:val="hybridMultilevel"/>
    <w:tmpl w:val="9BE06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B64E43"/>
    <w:multiLevelType w:val="hybridMultilevel"/>
    <w:tmpl w:val="55E484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1EE12A8">
      <w:start w:val="19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FD7110"/>
    <w:multiLevelType w:val="hybridMultilevel"/>
    <w:tmpl w:val="9F18EAFE"/>
    <w:lvl w:ilvl="0" w:tplc="B8B459F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52A2B52"/>
    <w:multiLevelType w:val="hybridMultilevel"/>
    <w:tmpl w:val="62B29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7B36EF"/>
    <w:multiLevelType w:val="hybridMultilevel"/>
    <w:tmpl w:val="6F2EC784"/>
    <w:lvl w:ilvl="0" w:tplc="BBE49AC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8357BE"/>
    <w:multiLevelType w:val="hybridMultilevel"/>
    <w:tmpl w:val="9968A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87A6A"/>
    <w:multiLevelType w:val="hybridMultilevel"/>
    <w:tmpl w:val="26FAAE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57E8D"/>
    <w:multiLevelType w:val="hybridMultilevel"/>
    <w:tmpl w:val="E0A22F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435122"/>
    <w:multiLevelType w:val="hybridMultilevel"/>
    <w:tmpl w:val="FF6C596C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1874DC"/>
    <w:multiLevelType w:val="hybridMultilevel"/>
    <w:tmpl w:val="E850F696"/>
    <w:lvl w:ilvl="0" w:tplc="C6543D82">
      <w:start w:val="1"/>
      <w:numFmt w:val="bullet"/>
      <w:lvlText w:val="-"/>
      <w:lvlJc w:val="left"/>
      <w:pPr>
        <w:ind w:left="720" w:hanging="360"/>
      </w:pPr>
      <w:rPr>
        <w:rFonts w:ascii="Shruti" w:hAnsi="Shrut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F05F4D"/>
    <w:multiLevelType w:val="hybridMultilevel"/>
    <w:tmpl w:val="A33A662E"/>
    <w:lvl w:ilvl="0" w:tplc="BBE49AC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F84676"/>
    <w:multiLevelType w:val="hybridMultilevel"/>
    <w:tmpl w:val="CA687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8"/>
  </w:num>
  <w:num w:numId="4">
    <w:abstractNumId w:val="11"/>
  </w:num>
  <w:num w:numId="5">
    <w:abstractNumId w:val="33"/>
  </w:num>
  <w:num w:numId="6">
    <w:abstractNumId w:val="6"/>
  </w:num>
  <w:num w:numId="7">
    <w:abstractNumId w:val="39"/>
  </w:num>
  <w:num w:numId="8">
    <w:abstractNumId w:val="10"/>
  </w:num>
  <w:num w:numId="9">
    <w:abstractNumId w:val="24"/>
  </w:num>
  <w:num w:numId="10">
    <w:abstractNumId w:val="21"/>
  </w:num>
  <w:num w:numId="11">
    <w:abstractNumId w:val="4"/>
  </w:num>
  <w:num w:numId="12">
    <w:abstractNumId w:val="5"/>
  </w:num>
  <w:num w:numId="13">
    <w:abstractNumId w:val="22"/>
  </w:num>
  <w:num w:numId="1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38"/>
  </w:num>
  <w:num w:numId="18">
    <w:abstractNumId w:val="35"/>
  </w:num>
  <w:num w:numId="19">
    <w:abstractNumId w:val="26"/>
  </w:num>
  <w:num w:numId="20">
    <w:abstractNumId w:val="30"/>
  </w:num>
  <w:num w:numId="21">
    <w:abstractNumId w:val="23"/>
  </w:num>
  <w:num w:numId="22">
    <w:abstractNumId w:val="15"/>
  </w:num>
  <w:num w:numId="23">
    <w:abstractNumId w:val="34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8"/>
  </w:num>
  <w:num w:numId="29">
    <w:abstractNumId w:val="27"/>
  </w:num>
  <w:num w:numId="30">
    <w:abstractNumId w:val="2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0"/>
  </w:num>
  <w:num w:numId="34">
    <w:abstractNumId w:val="25"/>
  </w:num>
  <w:num w:numId="35">
    <w:abstractNumId w:val="31"/>
  </w:num>
  <w:num w:numId="36">
    <w:abstractNumId w:val="32"/>
  </w:num>
  <w:num w:numId="37">
    <w:abstractNumId w:val="40"/>
  </w:num>
  <w:num w:numId="38">
    <w:abstractNumId w:val="7"/>
  </w:num>
  <w:num w:numId="39">
    <w:abstractNumId w:val="14"/>
  </w:num>
  <w:num w:numId="40">
    <w:abstractNumId w:val="16"/>
  </w:num>
  <w:num w:numId="41">
    <w:abstractNumId w:val="29"/>
  </w:num>
  <w:num w:numId="42">
    <w:abstractNumId w:val="19"/>
  </w:num>
  <w:num w:numId="43">
    <w:abstractNumId w:val="12"/>
  </w:num>
  <w:num w:numId="44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B7A61"/>
    <w:rsid w:val="00001563"/>
    <w:rsid w:val="00023448"/>
    <w:rsid w:val="00023F8B"/>
    <w:rsid w:val="00025866"/>
    <w:rsid w:val="00035B8E"/>
    <w:rsid w:val="00035E2E"/>
    <w:rsid w:val="00037431"/>
    <w:rsid w:val="0006207D"/>
    <w:rsid w:val="00063C9F"/>
    <w:rsid w:val="00065822"/>
    <w:rsid w:val="000A006A"/>
    <w:rsid w:val="000A51B6"/>
    <w:rsid w:val="000B48F2"/>
    <w:rsid w:val="000C2764"/>
    <w:rsid w:val="000E3897"/>
    <w:rsid w:val="000F2A82"/>
    <w:rsid w:val="001134EB"/>
    <w:rsid w:val="0012131A"/>
    <w:rsid w:val="001341D4"/>
    <w:rsid w:val="00140F0B"/>
    <w:rsid w:val="00144E54"/>
    <w:rsid w:val="00153C1E"/>
    <w:rsid w:val="001625D5"/>
    <w:rsid w:val="00170975"/>
    <w:rsid w:val="00171FC5"/>
    <w:rsid w:val="00191FCE"/>
    <w:rsid w:val="001D13AF"/>
    <w:rsid w:val="001F0ABE"/>
    <w:rsid w:val="00206EAB"/>
    <w:rsid w:val="00210ED5"/>
    <w:rsid w:val="002355A6"/>
    <w:rsid w:val="0024153B"/>
    <w:rsid w:val="00241F39"/>
    <w:rsid w:val="00242DA6"/>
    <w:rsid w:val="00257B5F"/>
    <w:rsid w:val="0026575E"/>
    <w:rsid w:val="002765C6"/>
    <w:rsid w:val="002828D0"/>
    <w:rsid w:val="002A3EED"/>
    <w:rsid w:val="002B009A"/>
    <w:rsid w:val="002C5A0F"/>
    <w:rsid w:val="002F7483"/>
    <w:rsid w:val="00313825"/>
    <w:rsid w:val="00342472"/>
    <w:rsid w:val="003501A5"/>
    <w:rsid w:val="00357CE5"/>
    <w:rsid w:val="00377082"/>
    <w:rsid w:val="003B16DA"/>
    <w:rsid w:val="004137D8"/>
    <w:rsid w:val="00413EBA"/>
    <w:rsid w:val="004202B9"/>
    <w:rsid w:val="0043535A"/>
    <w:rsid w:val="00435E75"/>
    <w:rsid w:val="00447E0A"/>
    <w:rsid w:val="0045566A"/>
    <w:rsid w:val="004607CD"/>
    <w:rsid w:val="00495A59"/>
    <w:rsid w:val="004A0C4A"/>
    <w:rsid w:val="004A66BA"/>
    <w:rsid w:val="004A6D14"/>
    <w:rsid w:val="004B283E"/>
    <w:rsid w:val="004B2B03"/>
    <w:rsid w:val="004B7C7D"/>
    <w:rsid w:val="004C5376"/>
    <w:rsid w:val="004E4A0B"/>
    <w:rsid w:val="004E7EF5"/>
    <w:rsid w:val="004F60BC"/>
    <w:rsid w:val="005002D6"/>
    <w:rsid w:val="00502547"/>
    <w:rsid w:val="00506274"/>
    <w:rsid w:val="00514C6B"/>
    <w:rsid w:val="00545427"/>
    <w:rsid w:val="00571C0D"/>
    <w:rsid w:val="005C41E0"/>
    <w:rsid w:val="005C46CB"/>
    <w:rsid w:val="005C6893"/>
    <w:rsid w:val="005F2F7E"/>
    <w:rsid w:val="00607CB7"/>
    <w:rsid w:val="00624549"/>
    <w:rsid w:val="00625B66"/>
    <w:rsid w:val="00647B1B"/>
    <w:rsid w:val="006700EA"/>
    <w:rsid w:val="00686F5B"/>
    <w:rsid w:val="006A3324"/>
    <w:rsid w:val="006C557F"/>
    <w:rsid w:val="006C5C5A"/>
    <w:rsid w:val="007108CA"/>
    <w:rsid w:val="00712ADC"/>
    <w:rsid w:val="00714620"/>
    <w:rsid w:val="00717198"/>
    <w:rsid w:val="00727483"/>
    <w:rsid w:val="00741F40"/>
    <w:rsid w:val="00742CF5"/>
    <w:rsid w:val="0075554A"/>
    <w:rsid w:val="0077316C"/>
    <w:rsid w:val="00782272"/>
    <w:rsid w:val="00785010"/>
    <w:rsid w:val="007926DE"/>
    <w:rsid w:val="007A46E5"/>
    <w:rsid w:val="007D24FE"/>
    <w:rsid w:val="007D385F"/>
    <w:rsid w:val="007D5BC1"/>
    <w:rsid w:val="007E2D10"/>
    <w:rsid w:val="007F090D"/>
    <w:rsid w:val="00800D14"/>
    <w:rsid w:val="00810EC5"/>
    <w:rsid w:val="008155CB"/>
    <w:rsid w:val="00836F17"/>
    <w:rsid w:val="00840960"/>
    <w:rsid w:val="0084180E"/>
    <w:rsid w:val="008422AD"/>
    <w:rsid w:val="00851D4B"/>
    <w:rsid w:val="008A38CD"/>
    <w:rsid w:val="008A483A"/>
    <w:rsid w:val="008B70F2"/>
    <w:rsid w:val="008D6297"/>
    <w:rsid w:val="00903899"/>
    <w:rsid w:val="009071A4"/>
    <w:rsid w:val="009230B4"/>
    <w:rsid w:val="00932206"/>
    <w:rsid w:val="009474E9"/>
    <w:rsid w:val="009538A3"/>
    <w:rsid w:val="00957502"/>
    <w:rsid w:val="00961061"/>
    <w:rsid w:val="009917CD"/>
    <w:rsid w:val="009A0F3D"/>
    <w:rsid w:val="009A2D8D"/>
    <w:rsid w:val="009C046C"/>
    <w:rsid w:val="009C35E7"/>
    <w:rsid w:val="009C3668"/>
    <w:rsid w:val="009C460C"/>
    <w:rsid w:val="009D0D4A"/>
    <w:rsid w:val="009E7721"/>
    <w:rsid w:val="009F27F2"/>
    <w:rsid w:val="009F5EEF"/>
    <w:rsid w:val="009F6937"/>
    <w:rsid w:val="00A041BC"/>
    <w:rsid w:val="00A1164D"/>
    <w:rsid w:val="00A15C9F"/>
    <w:rsid w:val="00A35799"/>
    <w:rsid w:val="00A36009"/>
    <w:rsid w:val="00A470F5"/>
    <w:rsid w:val="00A50BC2"/>
    <w:rsid w:val="00A56D68"/>
    <w:rsid w:val="00A604ED"/>
    <w:rsid w:val="00A67479"/>
    <w:rsid w:val="00A75D46"/>
    <w:rsid w:val="00A91E88"/>
    <w:rsid w:val="00AD2513"/>
    <w:rsid w:val="00AE1711"/>
    <w:rsid w:val="00AE3343"/>
    <w:rsid w:val="00AE4A40"/>
    <w:rsid w:val="00AF575C"/>
    <w:rsid w:val="00B104E8"/>
    <w:rsid w:val="00B11FE5"/>
    <w:rsid w:val="00B12B3F"/>
    <w:rsid w:val="00B36CA8"/>
    <w:rsid w:val="00B47858"/>
    <w:rsid w:val="00B50F34"/>
    <w:rsid w:val="00B556F2"/>
    <w:rsid w:val="00B70547"/>
    <w:rsid w:val="00B83745"/>
    <w:rsid w:val="00B93799"/>
    <w:rsid w:val="00BA2837"/>
    <w:rsid w:val="00BC51D6"/>
    <w:rsid w:val="00BC72CD"/>
    <w:rsid w:val="00BE546F"/>
    <w:rsid w:val="00C00843"/>
    <w:rsid w:val="00C00C12"/>
    <w:rsid w:val="00C045AA"/>
    <w:rsid w:val="00C218AB"/>
    <w:rsid w:val="00C32701"/>
    <w:rsid w:val="00C35CD6"/>
    <w:rsid w:val="00C4498F"/>
    <w:rsid w:val="00C509A7"/>
    <w:rsid w:val="00C5560E"/>
    <w:rsid w:val="00C62B3E"/>
    <w:rsid w:val="00C63173"/>
    <w:rsid w:val="00C7083F"/>
    <w:rsid w:val="00C743F3"/>
    <w:rsid w:val="00C93188"/>
    <w:rsid w:val="00C96942"/>
    <w:rsid w:val="00CC414E"/>
    <w:rsid w:val="00CD6CD2"/>
    <w:rsid w:val="00D01E32"/>
    <w:rsid w:val="00D0380F"/>
    <w:rsid w:val="00D11F20"/>
    <w:rsid w:val="00D1733C"/>
    <w:rsid w:val="00D24007"/>
    <w:rsid w:val="00D24948"/>
    <w:rsid w:val="00D34D9C"/>
    <w:rsid w:val="00D447C4"/>
    <w:rsid w:val="00D54A29"/>
    <w:rsid w:val="00D631AB"/>
    <w:rsid w:val="00D64A1C"/>
    <w:rsid w:val="00D85A30"/>
    <w:rsid w:val="00D8678C"/>
    <w:rsid w:val="00D94CD4"/>
    <w:rsid w:val="00DA411A"/>
    <w:rsid w:val="00DB7A61"/>
    <w:rsid w:val="00DD485B"/>
    <w:rsid w:val="00DE155A"/>
    <w:rsid w:val="00DF01B9"/>
    <w:rsid w:val="00DF4DF5"/>
    <w:rsid w:val="00DF6394"/>
    <w:rsid w:val="00E079E0"/>
    <w:rsid w:val="00E80478"/>
    <w:rsid w:val="00EA6A5C"/>
    <w:rsid w:val="00EB5E38"/>
    <w:rsid w:val="00EB6EAB"/>
    <w:rsid w:val="00ED512D"/>
    <w:rsid w:val="00F0088A"/>
    <w:rsid w:val="00F26DB7"/>
    <w:rsid w:val="00F309BB"/>
    <w:rsid w:val="00F32B6C"/>
    <w:rsid w:val="00F36194"/>
    <w:rsid w:val="00F50B5F"/>
    <w:rsid w:val="00F5193A"/>
    <w:rsid w:val="00F533EA"/>
    <w:rsid w:val="00F65EE7"/>
    <w:rsid w:val="00FA79FB"/>
    <w:rsid w:val="00FB5DB5"/>
    <w:rsid w:val="00FD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B7A61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3B16DA"/>
    <w:pPr>
      <w:keepNext/>
      <w:spacing w:line="480" w:lineRule="auto"/>
      <w:jc w:val="center"/>
      <w:outlineLvl w:val="1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DB7A6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B7A61"/>
  </w:style>
  <w:style w:type="paragraph" w:customStyle="1" w:styleId="Stile">
    <w:name w:val="Stile"/>
    <w:rsid w:val="00153C1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  <w:style w:type="paragraph" w:styleId="Testofumetto">
    <w:name w:val="Balloon Text"/>
    <w:basedOn w:val="Normale"/>
    <w:semiHidden/>
    <w:rsid w:val="00D64A1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4202B9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A36009"/>
    <w:pPr>
      <w:spacing w:after="200" w:line="276" w:lineRule="auto"/>
      <w:ind w:left="720"/>
      <w:contextualSpacing/>
    </w:pPr>
    <w:rPr>
      <w:rFonts w:ascii="Symbol" w:eastAsia="Calibri" w:hAnsi="Symbol" w:cs="Arial"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3B16D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B7A61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3B16DA"/>
    <w:pPr>
      <w:keepNext/>
      <w:spacing w:line="480" w:lineRule="auto"/>
      <w:jc w:val="center"/>
      <w:outlineLvl w:val="1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DB7A6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B7A61"/>
  </w:style>
  <w:style w:type="paragraph" w:customStyle="1" w:styleId="Stile">
    <w:name w:val="Stile"/>
    <w:rsid w:val="00153C1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  <w:style w:type="paragraph" w:styleId="Testofumetto">
    <w:name w:val="Balloon Text"/>
    <w:basedOn w:val="Normale"/>
    <w:semiHidden/>
    <w:rsid w:val="00D64A1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4202B9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A36009"/>
    <w:pPr>
      <w:spacing w:after="200" w:line="276" w:lineRule="auto"/>
      <w:ind w:left="720"/>
      <w:contextualSpacing/>
    </w:pPr>
    <w:rPr>
      <w:rFonts w:ascii="Symbol" w:eastAsia="Calibri" w:hAnsi="Symbol" w:cs="Arial"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3B16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Produttore</vt:lpstr>
    </vt:vector>
  </TitlesOfParts>
  <Company>INT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Produttore</dc:title>
  <dc:creator>dautiliaelisa</dc:creator>
  <cp:lastModifiedBy>iantornomaria</cp:lastModifiedBy>
  <cp:revision>13</cp:revision>
  <cp:lastPrinted>2011-01-20T09:27:00Z</cp:lastPrinted>
  <dcterms:created xsi:type="dcterms:W3CDTF">2016-12-15T10:21:00Z</dcterms:created>
  <dcterms:modified xsi:type="dcterms:W3CDTF">2017-01-26T13:10:00Z</dcterms:modified>
</cp:coreProperties>
</file>